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bookmarkStart w:id="0" w:name="_GoBack"/>
      <w:bookmarkEnd w:id="0"/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nº _____- ___________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identificar o código e a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São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verdadeiras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todas 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informações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159/2014 de 27 de outubro e no </w:t>
      </w:r>
      <w:r w:rsidR="004E35F8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RE CH 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Autoriza a </w:t>
      </w:r>
      <w:r w:rsidR="00B32F7C">
        <w:t>Comissão de Coordenação e Desenvolvimento Regional d</w:t>
      </w:r>
      <w:r w:rsidR="005E65C5">
        <w:t xml:space="preserve">e Lisboa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(NIF 600</w:t>
      </w:r>
      <w:r w:rsidR="00B32F7C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076 849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) e a Agência para o Desenvolvimento e Coesão (NIF </w:t>
      </w:r>
      <w:r w:rsidR="00B32F7C">
        <w:t>510 928 374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 a consultar a sua situação tributária e contributiva perante a administraç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>ão fiscal e a segurança social,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respetivamente.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t xml:space="preserve">A operação não se encontra(m) materialmente concluída(s) ou totalmente executada(s) antes da apresentação da candidatura: inexistência de auto(s) de receção provisória </w:t>
      </w:r>
      <w:r>
        <w:lastRenderedPageBreak/>
        <w:t>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</w:t>
      </w:r>
      <w:proofErr w:type="gramEnd"/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0ED" w:rsidRDefault="00D970ED" w:rsidP="007C77E1">
      <w:pPr>
        <w:spacing w:after="0" w:line="240" w:lineRule="auto"/>
      </w:pPr>
      <w:r>
        <w:separator/>
      </w:r>
    </w:p>
  </w:endnote>
  <w:endnote w:type="continuationSeparator" w:id="0">
    <w:p w:rsidR="00D970ED" w:rsidRDefault="00D970ED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1A4" w:rsidRDefault="00D970ED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79335D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79335D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09244A">
      <w:rPr>
        <w:rFonts w:ascii="Trebuchet MS" w:hAnsi="Trebuchet MS" w:cs="Calibri"/>
        <w:b/>
        <w:noProof/>
        <w:sz w:val="16"/>
        <w:szCs w:val="16"/>
      </w:rPr>
      <w:t>1</w:t>
    </w:r>
    <w:r w:rsidR="0079335D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79335D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79335D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09244A">
      <w:rPr>
        <w:rFonts w:ascii="Trebuchet MS" w:hAnsi="Trebuchet MS" w:cs="Calibri"/>
        <w:b/>
        <w:noProof/>
        <w:sz w:val="16"/>
        <w:szCs w:val="16"/>
      </w:rPr>
      <w:t>3</w:t>
    </w:r>
    <w:r w:rsidR="0079335D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0ED" w:rsidRDefault="00D970ED" w:rsidP="007C77E1">
      <w:pPr>
        <w:spacing w:after="0" w:line="240" w:lineRule="auto"/>
      </w:pPr>
      <w:r>
        <w:separator/>
      </w:r>
    </w:p>
  </w:footnote>
  <w:footnote w:type="continuationSeparator" w:id="0">
    <w:p w:rsidR="00D970ED" w:rsidRDefault="00D970ED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E1"/>
    <w:rsid w:val="00060507"/>
    <w:rsid w:val="0009244A"/>
    <w:rsid w:val="000F2E26"/>
    <w:rsid w:val="000F7D23"/>
    <w:rsid w:val="001A6EA1"/>
    <w:rsid w:val="001F3A9A"/>
    <w:rsid w:val="00290200"/>
    <w:rsid w:val="002A3862"/>
    <w:rsid w:val="00330C61"/>
    <w:rsid w:val="003909B4"/>
    <w:rsid w:val="00485C7D"/>
    <w:rsid w:val="004E35F8"/>
    <w:rsid w:val="0051680D"/>
    <w:rsid w:val="005866E0"/>
    <w:rsid w:val="005B6864"/>
    <w:rsid w:val="005E65C5"/>
    <w:rsid w:val="00605ED5"/>
    <w:rsid w:val="006F0CDB"/>
    <w:rsid w:val="007327DF"/>
    <w:rsid w:val="0079335D"/>
    <w:rsid w:val="007C77E1"/>
    <w:rsid w:val="009666EE"/>
    <w:rsid w:val="009903C6"/>
    <w:rsid w:val="00A00CD1"/>
    <w:rsid w:val="00AA56B2"/>
    <w:rsid w:val="00AB66E9"/>
    <w:rsid w:val="00B32F7C"/>
    <w:rsid w:val="00B827F4"/>
    <w:rsid w:val="00BB43A3"/>
    <w:rsid w:val="00C57AE3"/>
    <w:rsid w:val="00C951B9"/>
    <w:rsid w:val="00D52B43"/>
    <w:rsid w:val="00D855C2"/>
    <w:rsid w:val="00D970ED"/>
    <w:rsid w:val="00DB125F"/>
    <w:rsid w:val="00DE4692"/>
    <w:rsid w:val="00E81F75"/>
    <w:rsid w:val="00E91EDA"/>
    <w:rsid w:val="00EA762E"/>
    <w:rsid w:val="00EB29CF"/>
    <w:rsid w:val="00EF2747"/>
    <w:rsid w:val="00FE0A81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8C649-690B-48CF-84C9-A28764885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lurdes.manso</cp:lastModifiedBy>
  <cp:revision>2</cp:revision>
  <cp:lastPrinted>2016-02-08T13:17:00Z</cp:lastPrinted>
  <dcterms:created xsi:type="dcterms:W3CDTF">2018-01-08T17:31:00Z</dcterms:created>
  <dcterms:modified xsi:type="dcterms:W3CDTF">2018-01-08T17:31:00Z</dcterms:modified>
</cp:coreProperties>
</file>